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1F" w:rsidRDefault="005410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157E" w:rsidRPr="0085281F">
        <w:rPr>
          <w:b/>
          <w:bCs/>
          <w:noProof/>
          <w:lang w:eastAsia="ru-RU"/>
        </w:rPr>
        <w:drawing>
          <wp:inline distT="0" distB="0" distL="0" distR="0" wp14:anchorId="4831E099" wp14:editId="3C822EEA">
            <wp:extent cx="5838825" cy="9925050"/>
            <wp:effectExtent l="0" t="0" r="9525" b="0"/>
            <wp:docPr id="5" name="Рисунок 5" descr="C:\Users\актабан\AppData\Local\Packages\Microsoft.Windows.Photos_8wekyb3d8bbwe\TempState\ShareServiceTempFolder\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абан\AppData\Local\Packages\Microsoft.Windows.Photos_8wekyb3d8bbwe\TempState\ShareServiceTempFolder\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8" t="-86" r="588" b="86"/>
                    <a:stretch/>
                  </pic:blipFill>
                  <pic:spPr bwMode="auto">
                    <a:xfrm>
                      <a:off x="0" y="0"/>
                      <a:ext cx="58388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81F" w:rsidRPr="0085281F" w:rsidRDefault="00D47841" w:rsidP="0085281F">
      <w:pPr>
        <w:rPr>
          <w:b/>
          <w:bCs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</w:p>
    <w:p w:rsidR="00D47841" w:rsidRPr="00D47841" w:rsidRDefault="00D47841" w:rsidP="00852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7841" w:rsidRPr="00D47841" w:rsidRDefault="00D47841" w:rsidP="00BB7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8C15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D47841" w:rsidRPr="008C158D" w:rsidRDefault="008C158D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8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8C158D">
        <w:rPr>
          <w:rFonts w:ascii="Times New Roman" w:hAnsi="Times New Roman" w:cs="Times New Roman"/>
          <w:sz w:val="24"/>
          <w:szCs w:val="24"/>
        </w:rPr>
        <w:t xml:space="preserve">«Основы финансовой грамотности» для обучающихся 10 и 11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 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  <w:r w:rsidR="00BB7E6D">
        <w:rPr>
          <w:rFonts w:ascii="Times New Roman" w:hAnsi="Times New Roman" w:cs="Times New Roman"/>
          <w:sz w:val="24"/>
          <w:szCs w:val="24"/>
        </w:rPr>
        <w:t>Предмет</w:t>
      </w:r>
      <w:r w:rsidRPr="008C158D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для 10–11 классов является логичным продолжением целостной программы основ финансовой грамотности для обучающихся 1–9 классов. Отличительной особенностью данной программы является то, что она базируется на системно-</w:t>
      </w:r>
      <w:proofErr w:type="spellStart"/>
      <w:r w:rsidRPr="008C158D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8C158D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обучающихся.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>Целью реализации</w:t>
      </w:r>
      <w:r w:rsidRPr="00D47841">
        <w:rPr>
          <w:rFonts w:ascii="Times New Roman" w:hAnsi="Times New Roman" w:cs="Times New Roman"/>
          <w:sz w:val="24"/>
          <w:szCs w:val="24"/>
        </w:rPr>
        <w:t xml:space="preserve"> программы «Финансовая грамотность» является: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- формирование у учащихся 10-11 классов необходимых знаний, умений и навыков для принятия рациональных финансовых решений в сфере управления личными финансами.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задач</w:t>
      </w:r>
      <w:r w:rsidRPr="00D478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7841" w:rsidRPr="00D47841" w:rsidRDefault="00D47841" w:rsidP="00BB7E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объема информации об инструментах финансового и фондового рынка, распространяемой на территории Российской Федерации; </w:t>
      </w:r>
    </w:p>
    <w:p w:rsidR="00D47841" w:rsidRPr="00D47841" w:rsidRDefault="00D47841" w:rsidP="00BB7E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развитие информационных систем финансового рынка и механизмов защиты прав потребителей финансовых услуг; </w:t>
      </w:r>
    </w:p>
    <w:p w:rsidR="00D47841" w:rsidRPr="00D47841" w:rsidRDefault="00D47841" w:rsidP="00BB7E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развитие личности учащихся, адаптация к изменяющимся социально-экономическим условиям жизни; </w:t>
      </w:r>
    </w:p>
    <w:p w:rsidR="00D47841" w:rsidRPr="00D47841" w:rsidRDefault="00D47841" w:rsidP="00BB7E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формирование навыков для принятия компетентных, правильных финансовых решений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Учебная программа рассчитана на учащихся 10-11 классов и составлена с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 </w:t>
      </w:r>
    </w:p>
    <w:p w:rsidR="00D47841" w:rsidRPr="00D47841" w:rsidRDefault="00BB7E6D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предмет для </w:t>
      </w:r>
      <w:r w:rsidRPr="00D47841">
        <w:rPr>
          <w:rFonts w:ascii="Times New Roman" w:hAnsi="Times New Roman" w:cs="Times New Roman"/>
          <w:sz w:val="24"/>
          <w:szCs w:val="24"/>
        </w:rPr>
        <w:t>повышения</w:t>
      </w:r>
      <w:r w:rsidR="00D47841" w:rsidRPr="00D47841">
        <w:rPr>
          <w:rFonts w:ascii="Times New Roman" w:hAnsi="Times New Roman" w:cs="Times New Roman"/>
          <w:sz w:val="24"/>
          <w:szCs w:val="24"/>
        </w:rPr>
        <w:t xml:space="preserve">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</w:t>
      </w:r>
      <w:r w:rsidR="00D47841" w:rsidRPr="00D4784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накоплений, получения кредитов, уплаты налогов, страхования личных и имущественных рисков и др.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 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часов, отведенное на изучение учебного предмета «История»: </w:t>
      </w:r>
    </w:p>
    <w:p w:rsidR="00D47841" w:rsidRPr="00D47841" w:rsidRDefault="00BB7E6D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обязательного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D47841">
        <w:rPr>
          <w:rFonts w:ascii="Times New Roman" w:hAnsi="Times New Roman" w:cs="Times New Roman"/>
          <w:sz w:val="24"/>
          <w:szCs w:val="24"/>
        </w:rPr>
        <w:t>в</w:t>
      </w:r>
      <w:r w:rsidR="00D47841" w:rsidRPr="00D47841">
        <w:rPr>
          <w:rFonts w:ascii="Times New Roman" w:hAnsi="Times New Roman" w:cs="Times New Roman"/>
          <w:sz w:val="24"/>
          <w:szCs w:val="24"/>
        </w:rPr>
        <w:t xml:space="preserve"> 10-11 классе – 68 ч (из расчёта один учебный час в неделю).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формой организации образовательного процесса </w:t>
      </w:r>
      <w:r w:rsidRPr="00D47841">
        <w:rPr>
          <w:rFonts w:ascii="Times New Roman" w:hAnsi="Times New Roman" w:cs="Times New Roman"/>
          <w:sz w:val="24"/>
          <w:szCs w:val="24"/>
        </w:rPr>
        <w:t xml:space="preserve">является урок. Кроме того, программой предусмотрены контрольные работы.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Применяется ряд личностно-ориентированных технологий: технология интерактивного обучения, технология развития критического мышления, технология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подхода, проектная технология.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Формирование ключевых компетенций происходит через личностно-ориентированные технологии обучения: проблемное обучение, групповые технологии, технологии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Pr="00D478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Используются следующие виды проведения проверок: письменная, устная, комбинированная.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Формы: текущая, контрольная. Текущая аттестация проводится в форме письменных самостоятельных, фронтальных, групповых работ, контрольная в форме контрольных работ по разделам.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D4784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47841">
        <w:rPr>
          <w:rFonts w:ascii="Times New Roman" w:hAnsi="Times New Roman" w:cs="Times New Roman"/>
          <w:b/>
          <w:bCs/>
          <w:sz w:val="24"/>
          <w:szCs w:val="24"/>
        </w:rPr>
        <w:t>, предметные результаты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D47841" w:rsidRPr="00D47841" w:rsidRDefault="00D47841" w:rsidP="00BB7E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D4784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 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самостоятельное определение цели, умение задавать параметры и критерии, по которым можно определить, что цель достигнута;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постановка и формулирование собственных задач в образовательной деятельности и жизненных ситуациях;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оценка ресурсов, в том числе времени и других нематериальных ресурсов, необходимых для достижения поставленной цели;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lastRenderedPageBreak/>
        <w:t xml:space="preserve">— выбор пути достижения цели, умение планировать решение поставленных задач, оптимизируя материальные и нематериальные затраты;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организация эффективного поиска ресурсов, необходимых для достижения поставленной цели;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сопоставление полученного результата деятельности с поставленной заранее целью. 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 — критическая оценка и интерпретация информации с разных позиций, распознание и фиксация противоречия в информационных источниках;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использование различных модельно-схематических средств для представления существенных связей и отношений, а также противоречий, выявленных в информационных источниках;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критическое аргументирование в отношении действий и суждений другого;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целенаправленный поиск возможностей для широкого переноса средств и способов действия;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индивидуальная образовательная траектория, учитывая ограничения со стороны других участников и ресурсные ограничения.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осуществление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способность координировать и выполнять работу в условиях реального, виртуального и комбинированного взаимодействия;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— 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lastRenderedPageBreak/>
        <w:t xml:space="preserve">— возможность распознавать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="008C158D" w:rsidRPr="00D47841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  <w:r w:rsidRPr="00D4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владеть базовыми понятиями финансовой сферы (банк, депозит, кредит, портфель инвестиций, страхование, страховой случай, фондовый рынок, ценные бумаги, налоги, налоговый вычет, пенсия, пенсионные накопления, бизнес, старта, финансовый риск, финансовое мошенничество); </w:t>
      </w:r>
    </w:p>
    <w:p w:rsidR="00D47841" w:rsidRPr="00D47841" w:rsidRDefault="00D47841" w:rsidP="00BB7E6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владеть знаниями (правил поведения) в определённых финансовых институтах (банк, фондовый рынок, пенсионный фонд, налоговая служба, страховая компания и др.). </w:t>
      </w:r>
    </w:p>
    <w:p w:rsidR="00D47841" w:rsidRPr="00D47841" w:rsidRDefault="00D47841" w:rsidP="00BB7E6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развивать способности обучающихся, делать необходимые выводы и давать обоснованные оценки финансовых ситуаций; определение элементарных проблем в области финансов и нахождение путей их решения; </w:t>
      </w:r>
    </w:p>
    <w:p w:rsidR="00D47841" w:rsidRPr="00D47841" w:rsidRDefault="00D47841" w:rsidP="00BB7E6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способствовать развитию кругозора в области экономической жизни общества и </w:t>
      </w:r>
    </w:p>
    <w:p w:rsidR="00D47841" w:rsidRPr="008C158D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к изучению общественных дисциплин </w:t>
      </w:r>
      <w:r w:rsidRPr="008C158D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  <w:r w:rsidRPr="008C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8C158D" w:rsidRDefault="00D47841" w:rsidP="00BB7E6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8D">
        <w:rPr>
          <w:rFonts w:ascii="Times New Roman" w:hAnsi="Times New Roman" w:cs="Times New Roman"/>
          <w:iCs/>
          <w:sz w:val="24"/>
          <w:szCs w:val="24"/>
        </w:rPr>
        <w:t>вступать в коммуникацию со сверстниками и учителем, понимать и продвигать предлагаемые идеи;</w:t>
      </w:r>
      <w:r w:rsidRPr="008C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8C158D" w:rsidRDefault="00D47841" w:rsidP="00BB7E6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8D">
        <w:rPr>
          <w:rFonts w:ascii="Times New Roman" w:hAnsi="Times New Roman" w:cs="Times New Roman"/>
          <w:iCs/>
          <w:sz w:val="24"/>
          <w:szCs w:val="24"/>
        </w:rPr>
        <w:t>анализировать и интерпретировать финансовую информацию из различных источников;</w:t>
      </w:r>
      <w:r w:rsidRP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8C158D">
        <w:rPr>
          <w:rFonts w:ascii="Times New Roman" w:hAnsi="Times New Roman" w:cs="Times New Roman"/>
          <w:iCs/>
          <w:sz w:val="24"/>
          <w:szCs w:val="24"/>
        </w:rPr>
        <w:t>- владеть умением выступать в различных финансово-экономических ролях (покупателя безналичным и наличным способом, заёмщика и кредитора, вкладчика, участника фондового рынка, налогоплательщика, потребителя страховых услуг и др.).</w:t>
      </w:r>
      <w:r w:rsidRPr="008C1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приобретённые знания и умения в практической деятельности и в повседневной жизни: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Выбирать оптимальный вид инвестирования средств с использованием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>банков, рассчитывать собственную долговую нагрузку, подбирать оптимальный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вид кредитования, знать свои права и порядок их защиты, сравнивать различные варианты вложения денежных средств в банке.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lastRenderedPageBreak/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определение и нейтрализация основных рисков, связанных с работой на фондовом рынке.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Организовывать свои отношения с налоговыми органами, свое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>временно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реагировать на изменения в налоговом законодательстве.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Понимать нужность и важность процедуры страхования, проводить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страхования.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sz w:val="24"/>
          <w:szCs w:val="24"/>
        </w:rPr>
        <w:t xml:space="preserve">пенсии, выбор негосударственного пенсионного фонда с точки зрения надёжности и доходности. </w:t>
      </w:r>
    </w:p>
    <w:p w:rsidR="008C158D" w:rsidRDefault="00F54A49" w:rsidP="00BB7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8C158D" w:rsidRDefault="008C158D" w:rsidP="00BB7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A49" w:rsidRDefault="008C158D" w:rsidP="00BB7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F54A4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предмета</w:t>
      </w:r>
    </w:p>
    <w:p w:rsidR="00F54A49" w:rsidRDefault="00F54A49" w:rsidP="00BB7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8C158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финансово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й грамотности» </w:t>
      </w:r>
    </w:p>
    <w:p w:rsidR="00F54A49" w:rsidRDefault="00F54A49" w:rsidP="00BB7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8C15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p w:rsidR="00D47841" w:rsidRPr="00D47841" w:rsidRDefault="00D47841" w:rsidP="00BB7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>Глава 1Личность в мире будущего</w:t>
      </w:r>
      <w:r w:rsidR="008C1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58D" w:rsidRPr="00D47841">
        <w:rPr>
          <w:rFonts w:ascii="Times New Roman" w:hAnsi="Times New Roman" w:cs="Times New Roman"/>
          <w:b/>
          <w:bCs/>
          <w:sz w:val="24"/>
          <w:szCs w:val="24"/>
        </w:rPr>
        <w:t>(8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часов)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Скорость жизни в цифровом мире. Возможные сценарии жизни. Человеческий капитал.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Инвестирование в себя. Роботизация. Искусственный интеллект. Компетенции будущего.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Hardskills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Глава 2. Деньги в цифровом мире (9 часов)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lastRenderedPageBreak/>
        <w:t xml:space="preserve">Деньги. Природа цифровых денег. Стоимость денег во времени. Инфляция и дефляция. Волатильность. Банковские карты. Мобильный и интернет-банк. Электронные деньги и кошельки. Телефонное мошенничество.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Скимминг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Снифферинг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Глава 3.Моделирование личных финансов (6 часов)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Потребности и желания. Пирамида </w:t>
      </w:r>
      <w:r w:rsidR="008C158D" w:rsidRPr="00D47841">
        <w:rPr>
          <w:rFonts w:ascii="Times New Roman" w:hAnsi="Times New Roman" w:cs="Times New Roman"/>
          <w:sz w:val="24"/>
          <w:szCs w:val="24"/>
        </w:rPr>
        <w:t>Маслову</w:t>
      </w:r>
      <w:r w:rsidRPr="00D47841">
        <w:rPr>
          <w:rFonts w:ascii="Times New Roman" w:hAnsi="Times New Roman" w:cs="Times New Roman"/>
          <w:sz w:val="24"/>
          <w:szCs w:val="24"/>
        </w:rPr>
        <w:t xml:space="preserve">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Глава 4. Инструменты сбережения и инвестирования (10 часов)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</w:t>
      </w:r>
      <w:r w:rsidR="008C158D" w:rsidRPr="00D47841">
        <w:rPr>
          <w:rFonts w:ascii="Times New Roman" w:hAnsi="Times New Roman" w:cs="Times New Roman"/>
          <w:sz w:val="24"/>
          <w:szCs w:val="24"/>
        </w:rPr>
        <w:t>Производные</w:t>
      </w:r>
      <w:r w:rsidR="008C158D">
        <w:rPr>
          <w:rFonts w:ascii="Times New Roman" w:hAnsi="Times New Roman" w:cs="Times New Roman"/>
          <w:sz w:val="24"/>
          <w:szCs w:val="24"/>
        </w:rPr>
        <w:t xml:space="preserve"> </w:t>
      </w:r>
      <w:r w:rsidR="008C158D" w:rsidRPr="00D47841">
        <w:rPr>
          <w:rFonts w:ascii="Times New Roman" w:hAnsi="Times New Roman" w:cs="Times New Roman"/>
          <w:sz w:val="24"/>
          <w:szCs w:val="24"/>
        </w:rPr>
        <w:t>финансовые</w:t>
      </w:r>
      <w:r w:rsidRPr="00D47841">
        <w:rPr>
          <w:rFonts w:ascii="Times New Roman" w:hAnsi="Times New Roman" w:cs="Times New Roman"/>
          <w:sz w:val="24"/>
          <w:szCs w:val="24"/>
        </w:rPr>
        <w:t xml:space="preserve"> инструменты.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58D" w:rsidRPr="008C158D" w:rsidRDefault="008C158D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D47841" w:rsidRPr="008C158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элективного курса </w:t>
      </w:r>
    </w:p>
    <w:p w:rsidR="00D47841" w:rsidRPr="00D47841" w:rsidRDefault="008C158D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5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D47841" w:rsidRPr="008C158D">
        <w:rPr>
          <w:rFonts w:ascii="Times New Roman" w:hAnsi="Times New Roman" w:cs="Times New Roman"/>
          <w:b/>
          <w:bCs/>
          <w:sz w:val="24"/>
          <w:szCs w:val="24"/>
        </w:rPr>
        <w:t>«Основы финансовой грамотности» 11 класс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Глава 5. Инструменты сбережения и инвестирования (9 часов) </w:t>
      </w:r>
      <w:r w:rsidRPr="00D47841">
        <w:rPr>
          <w:rFonts w:ascii="Times New Roman" w:hAnsi="Times New Roman" w:cs="Times New Roman"/>
          <w:sz w:val="24"/>
          <w:szCs w:val="24"/>
        </w:rPr>
        <w:t xml:space="preserve">Кредит. Кредитные карты. Карты рассрочки. Автокредитование. Ипотека. Коммерческий банк.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Глава 6.Сотрудничество с государством (11 часов)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Коммуникация в цифровом мире. Идентификация. Паспорт гражданина. Персональные данные.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</w:t>
      </w:r>
      <w:r w:rsidRPr="00D47841">
        <w:rPr>
          <w:rFonts w:ascii="Times New Roman" w:hAnsi="Times New Roman" w:cs="Times New Roman"/>
          <w:sz w:val="24"/>
          <w:szCs w:val="24"/>
        </w:rPr>
        <w:lastRenderedPageBreak/>
        <w:t xml:space="preserve">возраст. Пенсионная система. Страховая и накопительная части пенсии. Новая пенсионная формула. </w:t>
      </w:r>
    </w:p>
    <w:p w:rsidR="00D47841" w:rsidRP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Глава 7. Создайте свой </w:t>
      </w:r>
      <w:proofErr w:type="spellStart"/>
      <w:r w:rsidRPr="00D47841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proofErr w:type="spellEnd"/>
      <w:r w:rsidR="008C1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(12 часов) </w:t>
      </w:r>
    </w:p>
    <w:p w:rsidR="00D47841" w:rsidRDefault="00D47841" w:rsidP="00BB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Идеи для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Команда для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BB7E6D" w:rsidRPr="00D47841" w:rsidRDefault="00BB7E6D" w:rsidP="00BB7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841" w:rsidRPr="00D47841" w:rsidRDefault="005966CB" w:rsidP="00D47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Тематическое планирование 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5762"/>
        <w:gridCol w:w="3355"/>
      </w:tblGrid>
      <w:tr w:rsidR="00D47841" w:rsidRPr="00D47841" w:rsidTr="005966CB">
        <w:trPr>
          <w:trHeight w:val="240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раздела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966CB" w:rsidRPr="00D47841" w:rsidTr="005966CB">
        <w:trPr>
          <w:trHeight w:val="240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6CB" w:rsidRPr="00D47841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6CB" w:rsidRPr="005966CB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C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6CB" w:rsidRPr="00D47841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841" w:rsidRPr="00D47841" w:rsidTr="005966CB">
        <w:trPr>
          <w:trHeight w:val="315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5966CB" w:rsidRDefault="005966CB" w:rsidP="005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Личность в мире будущего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841" w:rsidRPr="00D47841" w:rsidTr="005966CB">
        <w:trPr>
          <w:trHeight w:val="525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5966CB" w:rsidRDefault="005966CB" w:rsidP="005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Деньги в цифровом мире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D47841" w:rsidRPr="00D47841" w:rsidTr="005966CB">
        <w:trPr>
          <w:trHeight w:val="525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5966CB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CB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личных финансов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7841"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841" w:rsidRPr="00D47841" w:rsidTr="005966CB">
        <w:trPr>
          <w:trHeight w:val="255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6CB" w:rsidRPr="005966CB" w:rsidRDefault="005966CB" w:rsidP="005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Инструменты сбережения и </w:t>
            </w:r>
          </w:p>
          <w:p w:rsidR="00D47841" w:rsidRPr="005966CB" w:rsidRDefault="005966CB" w:rsidP="005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инвестирования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7841" w:rsidRPr="00D47841" w:rsidTr="005966CB">
        <w:trPr>
          <w:trHeight w:val="240"/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5966CB" w:rsidRDefault="00D47841" w:rsidP="005966CB">
            <w:pPr>
              <w:pStyle w:val="a5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6CB" w:rsidRDefault="005966CB" w:rsidP="005966C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41" w:rsidRPr="00D47841" w:rsidRDefault="005966CB" w:rsidP="005966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Поурочное планирование.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E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7E6D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tbl>
      <w:tblPr>
        <w:tblW w:w="96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2236"/>
        <w:gridCol w:w="1055"/>
        <w:gridCol w:w="5936"/>
      </w:tblGrid>
      <w:tr w:rsidR="00D47841" w:rsidRPr="00D47841" w:rsidTr="00BB7E6D">
        <w:trPr>
          <w:trHeight w:val="1590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(этап проектной или исследовательской деятельности)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 </w:t>
            </w:r>
            <w:proofErr w:type="spellStart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</w:t>
            </w:r>
          </w:p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плану) </w:t>
            </w: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 Личность в мире </w:t>
            </w:r>
            <w:proofErr w:type="gramStart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будущего( 8</w:t>
            </w:r>
            <w:proofErr w:type="gramEnd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жизни в цифровом мире.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https://infourok.ru/prezentaciya-po-finansovoj-gramotnosti-skorost-zhizni-6651119.html 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капитал.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https://studfile.net/preview/7673479/page:8/ 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Инвестируйте в себя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https://ppt-online.org/786233 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Планируйте жизнь на перспективу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https://ppt-online.org/786233 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себя в профессии будущего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https://videouroki.net/video/03-ishchem-sebya-v-professiyah-budushchego-259.html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Роботизация.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https://gb.ru/blog/robotizatsiya/</w:t>
            </w:r>
          </w:p>
        </w:tc>
      </w:tr>
      <w:tr w:rsidR="00D47841" w:rsidRPr="00D47841" w:rsidTr="00BB7E6D">
        <w:trPr>
          <w:trHeight w:val="31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Приобретайте компетенции будущего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https://gb.ru/blog/robotizatsiya/</w:t>
            </w:r>
          </w:p>
        </w:tc>
      </w:tr>
      <w:tr w:rsidR="00D47841" w:rsidRPr="00D47841" w:rsidTr="00BB7E6D">
        <w:trPr>
          <w:trHeight w:val="390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«Личность в мире будущего»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2 Деньги в цифровом мире (9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  <w:r w:rsidRPr="00D47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https://vfinansah.com/money/dengi-rol-v-ekonomike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Природа цифровых денег.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https://videouroki.net/video/04-priroda-cifrovyh-deneg-259.html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Инфляция и дефляция.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https://foxford.ru/wiki/obschestvoznanie/inflyatsiya</w:t>
            </w:r>
          </w:p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https://www.yaklass.ru/p/obshchestvoznanie/10-klass/ekonomika-6994640/denezhnaia-massa-7102630/re-f5e0dbe0-d921-444b-a9c5-56c20c25a951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Волатильность.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https://www.nur.kz/nurfin/stock/1885335-cto-takoe-volatilnost-prostymi-slovami/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карты.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https://fincult.info/article/bank-bez-ocheredi-internet-bank-i-mobilniy-bank/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и интернет-банк.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https://fincult.info/article/bank-bez-ocheredi-internet-bank-i-mobilniy-bank/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деньги и кошельки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https://finuslugi.ru/navigator/nakopit-i-sohranit/stat_samoe_glavnoe_ob_ehlektronnyh_koshelkah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Скимминг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Снифферинг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BB7E6D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6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https://vk.com/@prosv_i-chetyre-vida-moshennichestva-s-bankovskimi-kartami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«Деньги в цифровом мире»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5966CB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D47841"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 </w:t>
            </w:r>
            <w:r w:rsidR="00D47841"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личных финансов (6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и желания. Пирамида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https://trends.rbc.ru/trends/social/6385b3499a794707b048ec86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рекламы.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цель. Активы и пассивы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https://quote.rbc.ru/news/article/63e60e5d9a7947056615a6ee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рисков.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https://www.raiffeisen-life.ru/useful-info/chto-takoe-strakhovoy-risk/</w:t>
            </w: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финансового плана. Финансовая «подушка безопасности»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https://journal.tinkoff.ru/guide/emergency-fund/</w:t>
            </w: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«Моделирование личных финансов»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 Инструменты сбережения и </w:t>
            </w:r>
          </w:p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инвестирования (10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и пассивный доход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https://academia-suites.ru/blog/aktivnyy-i-passivnyy-dohod/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проценты. Накопительный счёт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https://media.mts.ru/technologies/201567-kak-rasschitat-protsenty-po-vkladam/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Инвестирование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https://www.banki.ru/news/daytheme/?id=10967261</w:t>
            </w: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Облигации. Акции. Государственные и корпоративные облигации.</w:t>
            </w: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https://alfabank.ru/help/articles/investments/chem-otlichayutsya-aktsii-ot-obligatsij/</w:t>
            </w: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Производныe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финансовыe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инструменты. </w:t>
            </w:r>
            <w:r w:rsidRPr="00D4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Опционы. Фьючерсы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https://bcs-express.ru/novosti-i-analitika/proizvodnye-finansovye-instrumenty-f-iuchers-optsion-v-chem-raznitsa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Квалифицированный инвестор. Брокер.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https://www.tinkoff.ru/invest/help/educate/qualification/about/terms/</w:t>
            </w:r>
          </w:p>
        </w:tc>
      </w:tr>
      <w:tr w:rsidR="00D47841" w:rsidRPr="00D47841" w:rsidTr="00BB7E6D">
        <w:trPr>
          <w:trHeight w:val="52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инвестиционный счёт. Стратегия инвестирования.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https://www.tinkoff.ru/invest/help/brokerage/iis/all-about-iis/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инвестиционного портфеля.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https://www.tinkoff.ru/invest/help/educate/how-it-works/rookie-advice/portfolio-n-risk/</w:t>
            </w:r>
          </w:p>
        </w:tc>
      </w:tr>
      <w:tr w:rsidR="00D47841" w:rsidRPr="00D47841" w:rsidTr="00BB7E6D">
        <w:trPr>
          <w:trHeight w:val="255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финансовых пирамид в цифровом мире.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https://journal.tinkoff.ru/wiki/pyramid/</w:t>
            </w:r>
          </w:p>
        </w:tc>
      </w:tr>
      <w:tr w:rsidR="00D47841" w:rsidRPr="00D47841" w:rsidTr="00BB7E6D">
        <w:trPr>
          <w:trHeight w:val="510"/>
          <w:tblCellSpacing w:w="0" w:type="dxa"/>
        </w:trPr>
        <w:tc>
          <w:tcPr>
            <w:tcW w:w="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33 -34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«Инструменты сбережения и инвестирования»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7841" w:rsidRPr="00D47841" w:rsidRDefault="00D47841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841" w:rsidRPr="00D47841" w:rsidRDefault="00D47841" w:rsidP="00D47841">
      <w:pPr>
        <w:rPr>
          <w:rFonts w:ascii="Times New Roman" w:hAnsi="Times New Roman" w:cs="Times New Roman"/>
          <w:sz w:val="24"/>
          <w:szCs w:val="24"/>
        </w:rPr>
      </w:pPr>
    </w:p>
    <w:p w:rsidR="00D47841" w:rsidRPr="00D47841" w:rsidRDefault="00D47841" w:rsidP="00D47841">
      <w:pPr>
        <w:rPr>
          <w:rFonts w:ascii="Times New Roman" w:hAnsi="Times New Roman" w:cs="Times New Roman"/>
          <w:sz w:val="24"/>
          <w:szCs w:val="24"/>
        </w:rPr>
      </w:pPr>
    </w:p>
    <w:p w:rsidR="00D47841" w:rsidRDefault="005966CB" w:rsidP="00D47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5966CB" w:rsidRPr="00D47841" w:rsidRDefault="005966CB" w:rsidP="005966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620"/>
        <w:gridCol w:w="3355"/>
      </w:tblGrid>
      <w:tr w:rsidR="005966CB" w:rsidRPr="00D47841" w:rsidTr="005966CB">
        <w:trPr>
          <w:trHeight w:val="240"/>
          <w:tblCellSpacing w:w="0" w:type="dxa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раздела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966CB" w:rsidRPr="00D47841" w:rsidTr="005966CB">
        <w:trPr>
          <w:trHeight w:val="315"/>
          <w:tblCellSpacing w:w="0" w:type="dxa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966CB" w:rsidRPr="00D47841" w:rsidTr="005966CB">
        <w:trPr>
          <w:trHeight w:val="525"/>
          <w:tblCellSpacing w:w="0" w:type="dxa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кредитования и заимствования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5966CB" w:rsidRPr="00D47841" w:rsidTr="005966CB">
        <w:trPr>
          <w:trHeight w:val="525"/>
          <w:tblCellSpacing w:w="0" w:type="dxa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государством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966CB" w:rsidRPr="00D47841" w:rsidTr="005966CB">
        <w:trPr>
          <w:trHeight w:val="255"/>
          <w:tblCellSpacing w:w="0" w:type="dxa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Создайте свой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5966CB" w:rsidRPr="00D47841" w:rsidTr="005966CB">
        <w:trPr>
          <w:trHeight w:val="240"/>
          <w:tblCellSpacing w:w="0" w:type="dxa"/>
        </w:trPr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D47841" w:rsidRDefault="005966CB" w:rsidP="0012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CB" w:rsidRPr="005966CB" w:rsidRDefault="005966CB" w:rsidP="005966CB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966CB" w:rsidRPr="00D47841" w:rsidRDefault="005966CB" w:rsidP="00D47841">
      <w:pPr>
        <w:rPr>
          <w:rFonts w:ascii="Times New Roman" w:hAnsi="Times New Roman" w:cs="Times New Roman"/>
          <w:sz w:val="24"/>
          <w:szCs w:val="24"/>
        </w:rPr>
      </w:pPr>
    </w:p>
    <w:p w:rsidR="00D47841" w:rsidRPr="00D47841" w:rsidRDefault="005966CB" w:rsidP="005966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8C15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Поурочное планирование.                           11 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</w:p>
    <w:tbl>
      <w:tblPr>
        <w:tblW w:w="27891" w:type="dxa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055"/>
        <w:gridCol w:w="6033"/>
        <w:gridCol w:w="5471"/>
        <w:gridCol w:w="5752"/>
        <w:gridCol w:w="5752"/>
      </w:tblGrid>
      <w:tr w:rsidR="00BB7E6D" w:rsidRPr="00D47841" w:rsidTr="00BB7E6D">
        <w:trPr>
          <w:trHeight w:val="15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(этап проектной или исследовательской деятельности)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 </w:t>
            </w:r>
            <w:proofErr w:type="spellStart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</w:t>
            </w:r>
          </w:p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плану) </w:t>
            </w: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5966CB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5966CB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5966CB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5966CB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«Моделирование личных финансов»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5 Инструменты кредитования и заимствования (9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https://www.vtb.ru/articles/chto-takoye-kredit/ 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карты. Карты рассрочки.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https://www.vtb.ru/articles/chto-takoye-kredit/ 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Автокредитование.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https://www.gazprombank.ru/pro-finance/credit/kak-ustroen-avtokredit/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30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Ипотека.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https://journal.tinkoff.ru/pro/zato-svoya/1-chto-takoe-ipoteka/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31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банк.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https://journal.sovcombank.ru/krediti/vidi-kreditnih-organizatsii-i-chem-oni-zanimayutsya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3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Кредитная история.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https://journal.tinkoff.ru/credithistory/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Кредитный договор. Способы погашения кредита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https://journal.sovcombank.ru/krediti/vidi-kreditnih-organizatsii-i-chem-oni-zanimayutsya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Банкротство физических лиц.</w:t>
            </w:r>
            <w:r w:rsidRPr="00D47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https://www.kp.ru/guide/bankrotstvo-fizicheskikh-lits.html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«Инструменты кредитования и заимствования»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6 Сотрудничество с государством (11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Идентификация. Паспорт гражданина.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https://journal.tinkoff.ru/kak-proverit-pasport/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данные. Традиционная и биометрическая защита.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https://mcs.mail.ru/blog/chto-takoe-personalnye-dannye-ih-hranenie-i-obrabotka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идентификации и аутентификации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https://uc.iitrust.ru/articles/portal-esia-chto-jeto-takoe-zachem-nuzhna/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система.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http://kursk-rost.ru/wp-content/uploads/2020/05/налоговая-система.pdf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имущество. Кадастровая стоимость.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https://www.b-kontur.ru/enquiry/350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8D">
              <w:rPr>
                <w:rFonts w:ascii="Times New Roman" w:hAnsi="Times New Roman" w:cs="Times New Roman"/>
                <w:bCs/>
                <w:sz w:val="24"/>
                <w:szCs w:val="24"/>
              </w:rPr>
              <w:t>https://www.nalog.gov.ru/rn77/taxation/taxes/ndfl/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8C158D" w:rsidRDefault="00BB7E6D" w:rsidP="00D478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https://journal.tinkoff.ru/transportnyi-nalog/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поддержка. Социальные услуги и льготы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https://www.tinkoff.ru/finance/blog/social-payments/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и пенсионный возраст. Пенсионная система.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https://videouroki.net/video/26-aktivnyj-i-pensionnyj-vozrast-259.html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Страховая и накопительная части пенсии.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https://journal.sovcombank.ru/sberezheniya/nakopitelnaya-i-strahovaya-pensii-v-rossii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«Сотрудничество с государством»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7. Создайте свой </w:t>
            </w:r>
            <w:proofErr w:type="spellStart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стартап</w:t>
            </w:r>
            <w:proofErr w:type="spellEnd"/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часов)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. Идеи для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https://dasreda.ru/media/for-managers/idei-dlya-startapov/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для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https://dasreda.ru/media/for-managers/idei-dlya-startapov/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https://journal.tinkoff.ru/guide/business-plan/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https://journal.tinkoff.ru/guide/business-plan/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Маркетинговая стратегия.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https://gb.ru/blog/marketingovaya-strategiya/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план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https://blog.bcs.ru/kak-sostavit-lichnyj-finansovyj-plan-poshagovaya-instrukciya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идей.</w:t>
            </w: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https://studfile.net/preview/3573015/page:55/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2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в ситуации неопределённости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https://practicum.yandex.ru/blog/kak-prinimat-resheniya-v-usloviyah-neopredelennosti/</w:t>
            </w: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</w:t>
            </w:r>
          </w:p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«Создайте свой </w:t>
            </w:r>
            <w:proofErr w:type="spellStart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6D" w:rsidRPr="00D47841" w:rsidTr="00BB7E6D">
        <w:trPr>
          <w:trHeight w:val="51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33-</w:t>
            </w:r>
          </w:p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E6D" w:rsidRPr="00D47841" w:rsidRDefault="00BB7E6D" w:rsidP="00D4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8D" w:rsidRDefault="008C158D" w:rsidP="00D47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158D" w:rsidRDefault="008C158D" w:rsidP="00D47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7841" w:rsidRPr="00D47841" w:rsidRDefault="008C158D" w:rsidP="00D478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BB7E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D47841"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Толкачёва С. В. Финансовая грамотность. Цифровой мир: учебное пособие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дляобщеобразовательных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организаций / С. В. Толкачёва. — М.: Просвещение, 2021.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Д. Завьялов. Материалы для учащихся. «Финансовая грамотность», 10 -11классы. – М.: «ВИТА Пресс», 2018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Ю.Брехова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А.Алмосов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Д.Завьялов.КИМ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«Финансовая грамотность», 10-11классы. – М.: «ВИТА Пресс», 2018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Ю.Брехова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Д. Завьялов. Учебная программа «Финансовая грамотность», 10 -11 классы. – М.: «ВИТА Пресс», 2018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Д. Завьялов. «Финансовая грамотность» методические материалы для учителя, 10-11 классы. – М.: «ВИТА Пресс», 2018.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Берзон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Основы финансовой экономики. Учебное пособие. 10-11классы М.: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ВитаПресс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2011 г.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А. Горяев, В. Чумаченко Финансовая грамота М.: Юнайтед Пресс, 2012 г.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А.П. Архипов, Азбука страхования: Для 10-11 классов общеобразовательных учреждений М.: Вита-Пресс, 2010 г.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Савенок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784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47841">
        <w:rPr>
          <w:rFonts w:ascii="Times New Roman" w:hAnsi="Times New Roman" w:cs="Times New Roman"/>
          <w:sz w:val="24"/>
          <w:szCs w:val="24"/>
        </w:rPr>
        <w:t xml:space="preserve"> составить личный финансовый план и как его реализовать М.: Манн, Иванов и Фербер, 2011 г.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Материалы обучения по основам финансовой грамотности (тексты к видео - лекциям) Москва 2015г. </w:t>
      </w:r>
    </w:p>
    <w:p w:rsidR="00D47841" w:rsidRPr="00D47841" w:rsidRDefault="00D47841" w:rsidP="00D4784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Г. Королёва, Т. 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Экономика. Учебное пособие 10-11 классы М. «</w:t>
      </w:r>
      <w:proofErr w:type="spellStart"/>
      <w:r w:rsidRPr="00D478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47841">
        <w:rPr>
          <w:rFonts w:ascii="Times New Roman" w:hAnsi="Times New Roman" w:cs="Times New Roman"/>
          <w:sz w:val="24"/>
          <w:szCs w:val="24"/>
        </w:rPr>
        <w:t xml:space="preserve"> Граф», 2013г. </w:t>
      </w:r>
    </w:p>
    <w:p w:rsidR="00D47841" w:rsidRPr="00D47841" w:rsidRDefault="00D47841" w:rsidP="00D47841">
      <w:pPr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 для ученика и учителя: </w:t>
      </w:r>
    </w:p>
    <w:p w:rsidR="00D47841" w:rsidRPr="00D47841" w:rsidRDefault="00BB7E6D" w:rsidP="00D4784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>www.nlu.ru</w:t>
        </w:r>
      </w:hyperlink>
      <w:hyperlink r:id="rId8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D47841" w:rsidRPr="00D47841" w:rsidRDefault="00BB7E6D" w:rsidP="00D4784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  <w:hyperlink r:id="rId10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47841" w:rsidRPr="00D47841">
        <w:rPr>
          <w:rFonts w:ascii="Times New Roman" w:hAnsi="Times New Roman" w:cs="Times New Roman"/>
          <w:sz w:val="24"/>
          <w:szCs w:val="24"/>
        </w:rPr>
        <w:t>14.</w:t>
      </w:r>
      <w:hyperlink r:id="rId11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  <w:hyperlink r:id="rId13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D47841" w:rsidRPr="00D47841" w:rsidRDefault="00BB7E6D" w:rsidP="00D4784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>www.nalog.ru</w:t>
        </w:r>
      </w:hyperlink>
      <w:hyperlink r:id="rId15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D47841" w:rsidRPr="00D47841" w:rsidRDefault="00BB7E6D" w:rsidP="00D4784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>www.prostrahovanie.ru</w:t>
        </w:r>
      </w:hyperlink>
      <w:hyperlink r:id="rId17" w:history="1">
        <w:r w:rsidR="00D47841" w:rsidRPr="00D4784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D47841" w:rsidRPr="00D47841" w:rsidRDefault="00D47841" w:rsidP="00D47841">
      <w:pPr>
        <w:rPr>
          <w:rFonts w:ascii="Times New Roman" w:hAnsi="Times New Roman" w:cs="Times New Roman"/>
          <w:sz w:val="24"/>
          <w:szCs w:val="24"/>
        </w:rPr>
      </w:pPr>
    </w:p>
    <w:p w:rsidR="00D47841" w:rsidRPr="00D47841" w:rsidRDefault="00D47841" w:rsidP="008C158D">
      <w:pPr>
        <w:ind w:left="1135"/>
        <w:rPr>
          <w:rFonts w:ascii="Times New Roman" w:hAnsi="Times New Roman" w:cs="Times New Roman"/>
          <w:sz w:val="24"/>
          <w:szCs w:val="24"/>
          <w:lang w:val="en-US"/>
        </w:rPr>
      </w:pPr>
      <w:r w:rsidRPr="00D478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47841" w:rsidRPr="00D47841" w:rsidRDefault="00D47841" w:rsidP="008C158D">
      <w:pPr>
        <w:ind w:left="1495"/>
        <w:rPr>
          <w:rFonts w:ascii="Times New Roman" w:hAnsi="Times New Roman" w:cs="Times New Roman"/>
          <w:sz w:val="24"/>
          <w:szCs w:val="24"/>
        </w:rPr>
      </w:pPr>
      <w:r w:rsidRPr="00D47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90B" w:rsidRPr="00D47841" w:rsidRDefault="00B4390B">
      <w:pPr>
        <w:rPr>
          <w:rFonts w:ascii="Times New Roman" w:hAnsi="Times New Roman" w:cs="Times New Roman"/>
          <w:sz w:val="24"/>
          <w:szCs w:val="24"/>
        </w:rPr>
      </w:pPr>
    </w:p>
    <w:sectPr w:rsidR="00B4390B" w:rsidRPr="00D47841" w:rsidSect="0085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53382"/>
    <w:multiLevelType w:val="multilevel"/>
    <w:tmpl w:val="818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0542D"/>
    <w:multiLevelType w:val="multilevel"/>
    <w:tmpl w:val="030A10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45361"/>
    <w:multiLevelType w:val="multilevel"/>
    <w:tmpl w:val="0F84B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409DC"/>
    <w:multiLevelType w:val="multilevel"/>
    <w:tmpl w:val="BA60AD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0889"/>
    <w:multiLevelType w:val="multilevel"/>
    <w:tmpl w:val="4ACA90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C0CA6"/>
    <w:multiLevelType w:val="multilevel"/>
    <w:tmpl w:val="BAE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B549C"/>
    <w:multiLevelType w:val="multilevel"/>
    <w:tmpl w:val="D40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16C82"/>
    <w:multiLevelType w:val="multilevel"/>
    <w:tmpl w:val="1A825D24"/>
    <w:lvl w:ilvl="0">
      <w:start w:val="18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8">
    <w:nsid w:val="6DDB3F4D"/>
    <w:multiLevelType w:val="multilevel"/>
    <w:tmpl w:val="552AB5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70256"/>
    <w:multiLevelType w:val="multilevel"/>
    <w:tmpl w:val="7A48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7489F"/>
    <w:multiLevelType w:val="multilevel"/>
    <w:tmpl w:val="762A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67"/>
    <w:rsid w:val="00245767"/>
    <w:rsid w:val="00496708"/>
    <w:rsid w:val="004F157E"/>
    <w:rsid w:val="005410AF"/>
    <w:rsid w:val="005966CB"/>
    <w:rsid w:val="0085281F"/>
    <w:rsid w:val="008C158D"/>
    <w:rsid w:val="00B4390B"/>
    <w:rsid w:val="00BB7E6D"/>
    <w:rsid w:val="00D47841"/>
    <w:rsid w:val="00F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C311-45E7-4DD6-9B02-695470F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84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4784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u.ru/" TargetMode="External"/><Relationship Id="rId13" Type="http://schemas.openxmlformats.org/officeDocument/2006/relationships/hyperlink" Target="http://www.bank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lu.ru/" TargetMode="External"/><Relationship Id="rId12" Type="http://schemas.openxmlformats.org/officeDocument/2006/relationships/hyperlink" Target="http://www.banki.ru/" TargetMode="External"/><Relationship Id="rId17" Type="http://schemas.openxmlformats.org/officeDocument/2006/relationships/hyperlink" Target="http://www.prostrahovani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trahovani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an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/" TargetMode="External"/><Relationship Id="rId10" Type="http://schemas.openxmlformats.org/officeDocument/2006/relationships/hyperlink" Target="http://www.bank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nki.ru/" TargetMode="External"/><Relationship Id="rId1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76AB-9A58-4419-A1F0-9F22E912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актабан</dc:creator>
  <cp:keywords/>
  <dc:description/>
  <cp:lastModifiedBy>актабан</cp:lastModifiedBy>
  <cp:revision>10</cp:revision>
  <dcterms:created xsi:type="dcterms:W3CDTF">2024-11-14T06:55:00Z</dcterms:created>
  <dcterms:modified xsi:type="dcterms:W3CDTF">2024-11-28T09:12:00Z</dcterms:modified>
</cp:coreProperties>
</file>